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Congregatio Immaculati Cordis Mariae (CICM)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Philippines School Network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SPORTS, CULTURE, AND ARTS CLUSTER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MINUTES OF MEETING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Date:</w:t>
        <w:tab/>
        <w:tab/>
        <w:t xml:space="preserve">May 03, 2024</w:t>
      </w:r>
    </w:p>
    <w:p w:rsidR="00000000" w:rsidDel="00000000" w:rsidP="00000000" w:rsidRDefault="00000000" w:rsidRPr="00000000" w14:paraId="00000009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Venue:</w:t>
        <w:tab/>
        <w:t xml:space="preserve">BCJ Amphitheater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Present</w:t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firstLine="36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Sports Development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Marilou C. Mandina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Jayvin M. Taguba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Honey Jerelyn M. Garcia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Mary Grace M. Bulatao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Cultural Affairs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Marinol V. Padilla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Fausto U. Bariuan Jr.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Normita Rio Pablico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Sherween Jerry Paul V. Saquing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Century Gothic" w:cs="Century Gothic" w:eastAsia="Century Gothic" w:hAnsi="Century Gothic"/>
          <w:b w:val="1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Opening Prayer.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The meeting started at 11:00 a.m. with an opening prayer led by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Jessica C. Onate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Roll Call of Participants.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Eight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participants attended the meeting in person.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rtl w:val="0"/>
        </w:rPr>
        <w:t xml:space="preserve">Meeting Proper. 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The following agenda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was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 discussed during the meeting.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4050"/>
        <w:gridCol w:w="2700"/>
        <w:tblGridChange w:id="0">
          <w:tblGrid>
            <w:gridCol w:w="2785"/>
            <w:gridCol w:w="4050"/>
            <w:gridCol w:w="27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Agenda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Discussions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0" w:hanging="270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Changes on the term used for the designated position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The proper name designation for sports coordinators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From Sports coordinator/ director to athletic coordinator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2. Unification of loads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Difference on the units designated for academics and office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There should be a unified number of units given to sports coordinators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3. Specialize coach to look after the students under basic level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Difficulties on finding sports associates during programs and activities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Give units as coach to faculty belonged/ under the office.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4. Scholarships for athletes  (part of benchmarking)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 way of scouting young athletes.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As a solution to the problem encountered when recruiting athletes 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Share criteria in identifying qualified students to avail scholarship for athletes.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5. Sports clinic volleyball and basketball (Good for next year) With coaching and 1 day tournament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Schedule of sports clinic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Number of participants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 to conduct the activity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Century Gothic" w:cs="Century Gothic" w:eastAsia="Century Gothic" w:hAnsi="Century Gothic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November 13-15, 2024 (Location-SLC) Program to be prepared by SLC rep.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15 male and 15 female participants.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6. Benchmarking (Good for next year)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Schools to visit 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Person in-charge 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Date for the activity 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Benchmarking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Suggestions: Baguio (July 18, 2024 online), La Salle (August 29-30, Face to Face)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7. Partially implemented activities of CCA team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Continuation of partially implemented activities.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CCA Team decided to conduct a zoom meeting to discuss the possible means of dealing with the partially implemented activities.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8. Activities to be implemented for the next two (2) years. 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The conduct of the CCA meet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entury Gothic" w:cs="Century Gothic" w:eastAsia="Century Gothic" w:hAnsi="Century Gothic"/>
                <w:color w:val="00000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rtl w:val="0"/>
              </w:rPr>
              <w:t xml:space="preserve">Artist Convergence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Target month to conduct the activity – February 2026, to be hosted by Saint Louis College of La Union.</w:t>
            </w:r>
          </w:p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The program will be composed of the following activities: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Spiritual Recollection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Workshops and Trainings with facilitators provided by NCCA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Culminating Activity</w:t>
            </w:r>
          </w:p>
          <w:p w:rsidR="00000000" w:rsidDel="00000000" w:rsidP="00000000" w:rsidRDefault="00000000" w:rsidRPr="00000000" w14:paraId="00000054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Four schools will be collaborating to conduct this activity.  </w:t>
            </w:r>
          </w:p>
          <w:p w:rsidR="00000000" w:rsidDel="00000000" w:rsidP="00000000" w:rsidRDefault="00000000" w:rsidRPr="00000000" w14:paraId="00000055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IV. Adjournment.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meeting adjourned at 2:30 p.m.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V. Closing Prayer.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The closing prayer was led by Jessica C. Onate</w:t>
      </w: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Prepared by: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Jessica C. Onate, MST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Designation, School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Century Gothic" w:cs="Century Gothic" w:eastAsia="Century Gothic" w:hAnsi="Century Gothic"/>
        </w:rPr>
      </w:pPr>
      <w:bookmarkStart w:colFirst="0" w:colLast="0" w:name="_heading=h.30j0zll" w:id="2"/>
      <w:bookmarkEnd w:id="2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Attested by: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Dr. Marie Jean Mendezabal  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Designation, School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Century Gothic" w:cs="Century Gothic" w:eastAsia="Century Gothic" w:hAnsi="Century Gothic"/>
        <w:color w:val="000000"/>
      </w:rPr>
    </w:pPr>
    <w:r w:rsidDel="00000000" w:rsidR="00000000" w:rsidRPr="00000000">
      <w:rPr>
        <w:rFonts w:ascii="Century Gothic" w:cs="Century Gothic" w:eastAsia="Century Gothic" w:hAnsi="Century Gothic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-266699</wp:posOffset>
              </wp:positionV>
              <wp:extent cx="2878455" cy="755650"/>
              <wp:effectExtent b="0" l="0" r="0" t="0"/>
              <wp:wrapNone/>
              <wp:docPr id="46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3921060" y="3416463"/>
                        <a:ext cx="2849880" cy="727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hnschrift Light" w:cs="Bahnschrift Light" w:eastAsia="Bahnschrift Light" w:hAnsi="Bahnschrift Light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2"/>
                              <w:vertAlign w:val="baseline"/>
                            </w:rPr>
                            <w:t xml:space="preserve">CONGREGATIO IMMACULATI CORDIS MARIAE (CICM) PHILIPPINES SCHOOL NETWORK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ahnschrift Light" w:cs="Bahnschrift Light" w:eastAsia="Bahnschrift Light" w:hAnsi="Bahnschrift Light"/>
                              <w:b w:val="1"/>
                              <w:i w:val="0"/>
                              <w:smallCaps w:val="0"/>
                              <w:strike w:val="0"/>
                              <w:color w:val="1f4e79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939800</wp:posOffset>
              </wp:positionH>
              <wp:positionV relativeFrom="paragraph">
                <wp:posOffset>-266699</wp:posOffset>
              </wp:positionV>
              <wp:extent cx="2878455" cy="755650"/>
              <wp:effectExtent b="0" l="0" r="0" t="0"/>
              <wp:wrapNone/>
              <wp:docPr id="4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8455" cy="755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3721100</wp:posOffset>
              </wp:positionH>
              <wp:positionV relativeFrom="paragraph">
                <wp:posOffset>-215899</wp:posOffset>
              </wp:positionV>
              <wp:extent cx="2729230" cy="643890"/>
              <wp:effectExtent b="0" l="0" r="0" t="0"/>
              <wp:wrapNone/>
              <wp:docPr id="4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81375" y="3458050"/>
                        <a:ext cx="2729230" cy="643890"/>
                        <a:chOff x="3981375" y="3458050"/>
                        <a:chExt cx="2729250" cy="643900"/>
                      </a:xfrm>
                    </wpg:grpSpPr>
                    <wpg:grpSp>
                      <wpg:cNvGrpSpPr/>
                      <wpg:grpSpPr>
                        <a:xfrm>
                          <a:off x="3981385" y="3458055"/>
                          <a:ext cx="2729230" cy="643890"/>
                          <a:chOff x="3981375" y="3458050"/>
                          <a:chExt cx="2729250" cy="643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81375" y="3458050"/>
                            <a:ext cx="2729250" cy="64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81385" y="3458055"/>
                            <a:ext cx="2729230" cy="643890"/>
                            <a:chOff x="3981375" y="3458050"/>
                            <a:chExt cx="2729250" cy="6439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81375" y="3458050"/>
                              <a:ext cx="2729250" cy="64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81385" y="3458055"/>
                              <a:ext cx="2729230" cy="643890"/>
                              <a:chOff x="0" y="0"/>
                              <a:chExt cx="3062269" cy="689826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3062250" cy="689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603250" cy="680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90445" y="34506"/>
                                <a:ext cx="405130" cy="522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639019" y="34506"/>
                                <a:ext cx="461010" cy="44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55607" y="34506"/>
                                <a:ext cx="453390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587924" y="0"/>
                                <a:ext cx="47434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104845" y="0"/>
                                <a:ext cx="49657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3721100</wp:posOffset>
              </wp:positionH>
              <wp:positionV relativeFrom="paragraph">
                <wp:posOffset>-215899</wp:posOffset>
              </wp:positionV>
              <wp:extent cx="2729230" cy="643890"/>
              <wp:effectExtent b="0" l="0" r="0" t="0"/>
              <wp:wrapNone/>
              <wp:docPr id="4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29230" cy="643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-179067</wp:posOffset>
          </wp:positionH>
          <wp:positionV relativeFrom="paragraph">
            <wp:posOffset>-349882</wp:posOffset>
          </wp:positionV>
          <wp:extent cx="1133475" cy="800735"/>
          <wp:effectExtent b="0" l="0" r="0" t="0"/>
          <wp:wrapSquare wrapText="bothSides" distB="0" distT="0" distL="114300" distR="114300"/>
          <wp:docPr id="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800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b="0" l="0" r="0" t="0"/>
              <wp:wrapNone/>
              <wp:docPr id="47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069400" y="3775238"/>
                        <a:ext cx="6553200" cy="952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9525" cy="12700"/>
              <wp:effectExtent b="0" l="0" r="0" t="0"/>
              <wp:wrapNone/>
              <wp:docPr id="4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532BB6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32B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76584C"/>
    <w:pPr>
      <w:autoSpaceDE w:val="0"/>
      <w:autoSpaceDN w:val="0"/>
      <w:adjustRightInd w:val="0"/>
      <w:spacing w:after="0" w:line="240" w:lineRule="auto"/>
    </w:pPr>
    <w:rPr>
      <w:rFonts w:ascii="Bookman Old Style" w:cs="Bookman Old Style" w:hAnsi="Bookman Old Style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AF3"/>
  </w:style>
  <w:style w:type="paragraph" w:styleId="Footer">
    <w:name w:val="footer"/>
    <w:basedOn w:val="Normal"/>
    <w:link w:val="FooterChar"/>
    <w:uiPriority w:val="99"/>
    <w:unhideWhenUsed w:val="1"/>
    <w:rsid w:val="006E7AF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AF3"/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9.png"/><Relationship Id="rId3" Type="http://schemas.openxmlformats.org/officeDocument/2006/relationships/image" Target="media/image7.png"/><Relationship Id="rId4" Type="http://schemas.openxmlformats.org/officeDocument/2006/relationships/image" Target="media/image10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image" Target="media/image8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B1igYzCGiqBrqQh/DWW9BMbkA==">CgMxLjAyCGguZ2pkZ3hzMgloLjFmb2I5dGUyCWguMzBqMHpsbDgAciExbFBZWlYzQV9FMmJUTlVsVWZtZXhOV01wSzViZEVHcFg=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2022-09-26T08:02:00Z</dcterms:created>
  <dc:creator>Luisa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0cb6c29f-b627-4b8c-8de1-7b5726dfe87e</vt:lpwstr>
  </property>
</Properties>
</file>