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Congregatio Immaculati Cordis Mariae (CICM)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Philippines School Network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ACADEMICS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ff0000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CLUSTER (BASIC EDUCATION)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MINUTES OF MEETING</w:t>
      </w:r>
    </w:p>
    <w:p w:rsidR="00000000" w:rsidDel="00000000" w:rsidP="00000000" w:rsidRDefault="00000000" w:rsidRPr="00000000" w14:paraId="00000007">
      <w:pPr>
        <w:spacing w:after="0" w:lineRule="auto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Date:</w:t>
        <w:tab/>
        <w:tab/>
        <w:t xml:space="preserve">May 3, 2024</w:t>
      </w:r>
    </w:p>
    <w:p w:rsidR="00000000" w:rsidDel="00000000" w:rsidP="00000000" w:rsidRDefault="00000000" w:rsidRPr="00000000" w14:paraId="00000009">
      <w:pPr>
        <w:spacing w:after="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Venue:</w:t>
        <w:tab/>
        <w:t xml:space="preserve">BCJ Amphitheater</w:t>
      </w:r>
    </w:p>
    <w:p w:rsidR="00000000" w:rsidDel="00000000" w:rsidP="00000000" w:rsidRDefault="00000000" w:rsidRPr="00000000" w14:paraId="0000000A">
      <w:pPr>
        <w:spacing w:after="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Present</w:t>
        <w:tab/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Century Gothic" w:cs="Century Gothic" w:eastAsia="Century Gothic" w:hAnsi="Century Gothic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 xml:space="preserve">Mary Ann A. Baquiran (USL Principal), Presider 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Century Gothic" w:cs="Century Gothic" w:eastAsia="Century Gothic" w:hAnsi="Century Gothic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 xml:space="preserve">Danilo D. Romero (SLC-SF Principal)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Century Gothic" w:cs="Century Gothic" w:eastAsia="Century Gothic" w:hAnsi="Century Gothic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 xml:space="preserve">Ma. Cristeta M. Aduca (SMU Principal)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Century Gothic" w:cs="Century Gothic" w:eastAsia="Century Gothic" w:hAnsi="Century Gothic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 xml:space="preserve">Belen A Doble (SLC-Cebu Elementary Principal)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Century Gothic" w:cs="Century Gothic" w:eastAsia="Century Gothic" w:hAnsi="Century Gothic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 xml:space="preserve">Christy S. Gallenero (SLC-Cebu High School Principal)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Century Gothic" w:cs="Century Gothic" w:eastAsia="Century Gothic" w:hAnsi="Century Gothic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 xml:space="preserve">Alejandro P. Pablico (SLU Principal)</w:t>
      </w:r>
    </w:p>
    <w:p w:rsidR="00000000" w:rsidDel="00000000" w:rsidP="00000000" w:rsidRDefault="00000000" w:rsidRPr="00000000" w14:paraId="00000011">
      <w:pPr>
        <w:spacing w:after="0" w:lineRule="auto"/>
        <w:rPr>
          <w:rFonts w:ascii="Century Gothic" w:cs="Century Gothic" w:eastAsia="Century Gothic" w:hAnsi="Century Gothic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jc w:val="both"/>
        <w:rPr>
          <w:rFonts w:ascii="Century Gothic" w:cs="Century Gothic" w:eastAsia="Century Gothic" w:hAnsi="Century Gothic"/>
          <w:b w:val="1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rtl w:val="0"/>
        </w:rPr>
        <w:t xml:space="preserve">Opening Prayer. 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 xml:space="preserve">The meeting started with an opening prayer led by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Natalie Kate Ramirez.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firstLine="0"/>
        <w:jc w:val="both"/>
        <w:rPr>
          <w:rFonts w:ascii="Century Gothic" w:cs="Century Gothic" w:eastAsia="Century Gothic" w:hAnsi="Century Gothic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jc w:val="both"/>
        <w:rPr>
          <w:rFonts w:ascii="Century Gothic" w:cs="Century Gothic" w:eastAsia="Century Gothic" w:hAnsi="Century Gothic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rtl w:val="0"/>
        </w:rPr>
        <w:t xml:space="preserve">Roll Call of Participants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.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Six 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 xml:space="preserve">participants attended the meeting in person.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Century Gothic" w:cs="Century Gothic" w:eastAsia="Century Gothic" w:hAnsi="Century Gothic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jc w:val="both"/>
        <w:rPr>
          <w:rFonts w:ascii="Century Gothic" w:cs="Century Gothic" w:eastAsia="Century Gothic" w:hAnsi="Century Gothic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rtl w:val="0"/>
        </w:rPr>
        <w:t xml:space="preserve">Meeting Proper. 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 xml:space="preserve">The following agenda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was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 xml:space="preserve"> discussed during the meeting.</w:t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85"/>
        <w:gridCol w:w="4050"/>
        <w:gridCol w:w="2700"/>
        <w:tblGridChange w:id="0">
          <w:tblGrid>
            <w:gridCol w:w="2785"/>
            <w:gridCol w:w="4050"/>
            <w:gridCol w:w="2700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Agenda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both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Discussions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Remarks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26" w:hanging="270"/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Review of last year’s action plan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SLU’s review of the organizational structure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One Basic Education structure for USL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IMPLEMENTED</w:t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IMPLEMENTED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426" w:hanging="270"/>
              <w:jc w:val="both"/>
              <w:rPr>
                <w:rFonts w:ascii="Century Gothic" w:cs="Century Gothic" w:eastAsia="Century Gothic" w:hAnsi="Century Gothic"/>
                <w:color w:val="00000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rtl w:val="0"/>
              </w:rPr>
              <w:t xml:space="preserve">Uniformity of nomenclature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There is also a proposal to observe uniformity in terms of the nomenclature to be used in the BES, if possible.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The body is still looking into it since it may or may not be applicable to all.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26" w:hanging="270"/>
              <w:jc w:val="both"/>
              <w:rPr>
                <w:rFonts w:ascii="Century Gothic" w:cs="Century Gothic" w:eastAsia="Century Gothic" w:hAnsi="Century Gothic"/>
                <w:color w:val="00000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rtl w:val="0"/>
              </w:rPr>
              <w:t xml:space="preserve">One Basic Education organizational structure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SLU plans to have additional Prefect of Discipline for High School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USL needs to review the newly implemented BES organizational structure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SLC aims for an intensification of the planning stage of the adoption of the new basic education organizational structure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SMU shall make a final stand regarding the adoption of the new basic education organizational structure.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These were included in the newly crafted Action Plan.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26" w:hanging="270"/>
              <w:jc w:val="both"/>
              <w:rPr>
                <w:rFonts w:ascii="Century Gothic" w:cs="Century Gothic" w:eastAsia="Century Gothic" w:hAnsi="Century Gothic"/>
                <w:color w:val="00000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rtl w:val="0"/>
              </w:rPr>
              <w:t xml:space="preserve">Quality Assurance system for Basic Education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All except USL must have a dedicated Quality Assurance staff for Basic Education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This shall materialize within AY 2024-2025.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26" w:hanging="270"/>
              <w:jc w:val="both"/>
              <w:rPr>
                <w:rFonts w:ascii="Century Gothic" w:cs="Century Gothic" w:eastAsia="Century Gothic" w:hAnsi="Century Gothic"/>
                <w:color w:val="00000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rtl w:val="0"/>
              </w:rPr>
              <w:t xml:space="preserve">Internationalization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Within 2024-2025, SMU and SLC need to conduct benchmarking with CICM sister schools and forge partnership with Laudato si International Movement.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There is a plan to have an international benchmarking in Vietnam. The tentative date will be October 31-November 3, 2024.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The body planned to look for sponsors for strengthened internationalization affairs, such as international benchmarking activity with reputable basic education schools.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26" w:hanging="270"/>
              <w:jc w:val="both"/>
              <w:rPr>
                <w:rFonts w:ascii="Century Gothic" w:cs="Century Gothic" w:eastAsia="Century Gothic" w:hAnsi="Century Gothic"/>
                <w:color w:val="00000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rtl w:val="0"/>
              </w:rPr>
              <w:t xml:space="preserve">MATATAG Curriculum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 of the action plan is the inclusion of the MATATAG Curriculum where at the end of A.Y. 2024-2025, 100% of the CICM Basic Education Schools have implemented the said curriculum in Kinder, Grades 1, 4 and 7.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Thus, administrators and faculty must attend to capacity-building training programs for the MATATAG curriculum.</w:t>
            </w:r>
          </w:p>
        </w:tc>
      </w:tr>
    </w:tbl>
    <w:p w:rsidR="00000000" w:rsidDel="00000000" w:rsidP="00000000" w:rsidRDefault="00000000" w:rsidRPr="00000000" w14:paraId="00000034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Rule="auto"/>
        <w:jc w:val="both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IV. Adjournment.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The meeting adjourned at 2:30 p.m.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jc w:val="both"/>
        <w:rPr>
          <w:rFonts w:ascii="Century Gothic" w:cs="Century Gothic" w:eastAsia="Century Gothic" w:hAnsi="Century Gothic"/>
          <w:b w:val="1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V. Closing Prayer.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The closing prayer was led by Natalie Kate Ramirez.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Prepared by:</w:t>
      </w:r>
    </w:p>
    <w:p w:rsidR="00000000" w:rsidDel="00000000" w:rsidP="00000000" w:rsidRDefault="00000000" w:rsidRPr="00000000" w14:paraId="0000003C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jc w:val="both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NATALIE KATE C. RAMIREZ</w:t>
      </w:r>
    </w:p>
    <w:p w:rsidR="00000000" w:rsidDel="00000000" w:rsidP="00000000" w:rsidRDefault="00000000" w:rsidRPr="00000000" w14:paraId="0000003E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Language Editor, USL</w:t>
      </w:r>
    </w:p>
    <w:p w:rsidR="00000000" w:rsidDel="00000000" w:rsidP="00000000" w:rsidRDefault="00000000" w:rsidRPr="00000000" w14:paraId="0000003F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Rule="auto"/>
        <w:jc w:val="both"/>
        <w:rPr>
          <w:rFonts w:ascii="Century Gothic" w:cs="Century Gothic" w:eastAsia="Century Gothic" w:hAnsi="Century Gothic"/>
        </w:rPr>
      </w:pPr>
      <w:bookmarkStart w:colFirst="0" w:colLast="0" w:name="_heading=h.30j0zll" w:id="1"/>
      <w:bookmarkEnd w:id="1"/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Attested by:</w:t>
      </w:r>
    </w:p>
    <w:p w:rsidR="00000000" w:rsidDel="00000000" w:rsidP="00000000" w:rsidRDefault="00000000" w:rsidRPr="00000000" w14:paraId="00000042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jc w:val="both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MARY ANN A. BAQUIRAN, MAEd</w:t>
      </w:r>
    </w:p>
    <w:p w:rsidR="00000000" w:rsidDel="00000000" w:rsidP="00000000" w:rsidRDefault="00000000" w:rsidRPr="00000000" w14:paraId="00000044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Principal, USL</w:t>
      </w:r>
    </w:p>
    <w:p w:rsidR="00000000" w:rsidDel="00000000" w:rsidP="00000000" w:rsidRDefault="00000000" w:rsidRPr="00000000" w14:paraId="00000045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rFonts w:ascii="Century Gothic" w:cs="Century Gothic" w:eastAsia="Century Gothic" w:hAnsi="Century Gothic"/>
        <w:color w:val="000000"/>
      </w:rPr>
    </w:pPr>
    <w:r w:rsidDel="00000000" w:rsidR="00000000" w:rsidRPr="00000000">
      <w:rPr>
        <w:rFonts w:ascii="Century Gothic" w:cs="Century Gothic" w:eastAsia="Century Gothic" w:hAnsi="Century Gothic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939800</wp:posOffset>
              </wp:positionH>
              <wp:positionV relativeFrom="paragraph">
                <wp:posOffset>-266699</wp:posOffset>
              </wp:positionV>
              <wp:extent cx="2878455" cy="755650"/>
              <wp:effectExtent b="0" l="0" r="0" t="0"/>
              <wp:wrapNone/>
              <wp:docPr id="46" name=""/>
              <a:graphic>
                <a:graphicData uri="http://schemas.microsoft.com/office/word/2010/wordprocessingShape">
                  <wps:wsp>
                    <wps:cNvSpPr/>
                    <wps:cNvPr id="14" name="Shape 14"/>
                    <wps:spPr>
                      <a:xfrm>
                        <a:off x="3921060" y="3416463"/>
                        <a:ext cx="2849880" cy="727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Bahnschrift Light" w:cs="Bahnschrift Light" w:eastAsia="Bahnschrift Light" w:hAnsi="Bahnschrift Light"/>
                              <w:b w:val="1"/>
                              <w:i w:val="0"/>
                              <w:smallCaps w:val="0"/>
                              <w:strike w:val="0"/>
                              <w:color w:val="1f4e79"/>
                              <w:sz w:val="22"/>
                              <w:vertAlign w:val="baseline"/>
                            </w:rPr>
                            <w:t xml:space="preserve">CONGREGATIO IMMACULATI CORDIS MARIAE (CICM) PHILIPPINES SCHOOL NETWORK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Bahnschrift Light" w:cs="Bahnschrift Light" w:eastAsia="Bahnschrift Light" w:hAnsi="Bahnschrift Light"/>
                              <w:b w:val="1"/>
                              <w:i w:val="0"/>
                              <w:smallCaps w:val="0"/>
                              <w:strike w:val="0"/>
                              <w:color w:val="1f4e79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939800</wp:posOffset>
              </wp:positionH>
              <wp:positionV relativeFrom="paragraph">
                <wp:posOffset>-266699</wp:posOffset>
              </wp:positionV>
              <wp:extent cx="2878455" cy="755650"/>
              <wp:effectExtent b="0" l="0" r="0" t="0"/>
              <wp:wrapNone/>
              <wp:docPr id="4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78455" cy="7556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3721100</wp:posOffset>
              </wp:positionH>
              <wp:positionV relativeFrom="paragraph">
                <wp:posOffset>-215899</wp:posOffset>
              </wp:positionV>
              <wp:extent cx="2729230" cy="643890"/>
              <wp:effectExtent b="0" l="0" r="0" t="0"/>
              <wp:wrapNone/>
              <wp:docPr id="45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981375" y="3458050"/>
                        <a:ext cx="2729230" cy="643890"/>
                        <a:chOff x="3981375" y="3458050"/>
                        <a:chExt cx="2729250" cy="643900"/>
                      </a:xfrm>
                    </wpg:grpSpPr>
                    <wpg:grpSp>
                      <wpg:cNvGrpSpPr/>
                      <wpg:grpSpPr>
                        <a:xfrm>
                          <a:off x="3981385" y="3458055"/>
                          <a:ext cx="2729230" cy="643890"/>
                          <a:chOff x="3981375" y="3458050"/>
                          <a:chExt cx="2729250" cy="6439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3981375" y="3458050"/>
                            <a:ext cx="2729250" cy="64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3981385" y="3458055"/>
                            <a:ext cx="2729230" cy="643890"/>
                            <a:chOff x="3981375" y="3458050"/>
                            <a:chExt cx="2729250" cy="6439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3981375" y="3458050"/>
                              <a:ext cx="2729250" cy="643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981385" y="3458055"/>
                              <a:ext cx="2729230" cy="643890"/>
                              <a:chOff x="0" y="0"/>
                              <a:chExt cx="3062269" cy="689826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3062250" cy="689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2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0" y="0"/>
                                <a:ext cx="603250" cy="680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9" name="Shape 9"/>
                              <pic:cNvPicPr preferRelativeResize="0"/>
                            </pic:nvPicPr>
                            <pic:blipFill rotWithShape="1">
                              <a:blip r:embed="rId3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1190445" y="34506"/>
                                <a:ext cx="405130" cy="5226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4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1639019" y="34506"/>
                                <a:ext cx="461010" cy="448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11" name="Shape 11"/>
                              <pic:cNvPicPr preferRelativeResize="0"/>
                            </pic:nvPicPr>
                            <pic:blipFill rotWithShape="1">
                              <a:blip r:embed="rId5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655607" y="34506"/>
                                <a:ext cx="453390" cy="655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12" name="Shape 12"/>
                              <pic:cNvPicPr preferRelativeResize="0"/>
                            </pic:nvPicPr>
                            <pic:blipFill rotWithShape="1">
                              <a:blip r:embed="rId6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2587924" y="0"/>
                                <a:ext cx="474345" cy="625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13" name="Shape 13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2104845" y="0"/>
                                <a:ext cx="496570" cy="502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3721100</wp:posOffset>
              </wp:positionH>
              <wp:positionV relativeFrom="paragraph">
                <wp:posOffset>-215899</wp:posOffset>
              </wp:positionV>
              <wp:extent cx="2729230" cy="643890"/>
              <wp:effectExtent b="0" l="0" r="0" t="0"/>
              <wp:wrapNone/>
              <wp:docPr id="45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8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29230" cy="6438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-179067</wp:posOffset>
          </wp:positionH>
          <wp:positionV relativeFrom="paragraph">
            <wp:posOffset>-349882</wp:posOffset>
          </wp:positionV>
          <wp:extent cx="1133475" cy="800735"/>
          <wp:effectExtent b="0" l="0" r="0" t="0"/>
          <wp:wrapSquare wrapText="bothSides" distB="0" distT="0" distL="114300" distR="114300"/>
          <wp:docPr id="48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9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33475" cy="8007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9525" cy="12700"/>
              <wp:effectExtent b="0" l="0" r="0" t="0"/>
              <wp:wrapNone/>
              <wp:docPr id="47" name=""/>
              <a:graphic>
                <a:graphicData uri="http://schemas.microsoft.com/office/word/2010/wordprocessingShape">
                  <wps:wsp>
                    <wps:cNvCnPr/>
                    <wps:spPr>
                      <a:xfrm flipH="1" rot="10800000">
                        <a:off x="2069400" y="3775238"/>
                        <a:ext cx="6553200" cy="9525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9525" cy="12700"/>
              <wp:effectExtent b="0" l="0" r="0" t="0"/>
              <wp:wrapNone/>
              <wp:docPr id="4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0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2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6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ListParagraph">
    <w:name w:val="List Paragraph"/>
    <w:basedOn w:val="Normal"/>
    <w:uiPriority w:val="34"/>
    <w:qFormat w:val="1"/>
    <w:rsid w:val="00532BB6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532BB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76584C"/>
    <w:pPr>
      <w:autoSpaceDE w:val="0"/>
      <w:autoSpaceDN w:val="0"/>
      <w:adjustRightInd w:val="0"/>
      <w:spacing w:after="0" w:line="240" w:lineRule="auto"/>
    </w:pPr>
    <w:rPr>
      <w:rFonts w:ascii="Bookman Old Style" w:cs="Bookman Old Style" w:hAnsi="Bookman Old Style"/>
      <w:color w:val="000000"/>
      <w:sz w:val="24"/>
      <w:szCs w:val="24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 w:val="1"/>
    <w:rsid w:val="006E7AF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E7AF3"/>
  </w:style>
  <w:style w:type="paragraph" w:styleId="Footer">
    <w:name w:val="footer"/>
    <w:basedOn w:val="Normal"/>
    <w:link w:val="FooterChar"/>
    <w:uiPriority w:val="99"/>
    <w:unhideWhenUsed w:val="1"/>
    <w:rsid w:val="006E7AF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E7AF3"/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apple-converted-space" w:customStyle="1">
    <w:name w:val="apple-converted-space"/>
    <w:basedOn w:val="DefaultParagraphFont"/>
    <w:rsid w:val="00BA243B"/>
  </w:style>
  <w:style w:type="character" w:styleId="s14" w:customStyle="1">
    <w:name w:val="s14"/>
    <w:basedOn w:val="DefaultParagraphFont"/>
    <w:rsid w:val="00BA243B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0.png"/><Relationship Id="rId3" Type="http://schemas.openxmlformats.org/officeDocument/2006/relationships/image" Target="media/image9.png"/><Relationship Id="rId4" Type="http://schemas.openxmlformats.org/officeDocument/2006/relationships/image" Target="media/image4.png"/><Relationship Id="rId10" Type="http://schemas.openxmlformats.org/officeDocument/2006/relationships/image" Target="media/image3.png"/><Relationship Id="rId9" Type="http://schemas.openxmlformats.org/officeDocument/2006/relationships/image" Target="media/image6.png"/><Relationship Id="rId5" Type="http://schemas.openxmlformats.org/officeDocument/2006/relationships/image" Target="media/image7.png"/><Relationship Id="rId6" Type="http://schemas.openxmlformats.org/officeDocument/2006/relationships/image" Target="media/image5.png"/><Relationship Id="rId7" Type="http://schemas.openxmlformats.org/officeDocument/2006/relationships/image" Target="media/image8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lOmNIxboD7wRH7n727beSq0XSg==">CgMxLjAyCGguZ2pkZ3hzMgloLjMwajB6bGw4AHIhMVowaU1NQ1dSczJyVlhZOEtGZEdnUkwzRmpFVFBLV0FD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2022-09-26T08:02:00Z</dcterms:created>
  <dc:creator>Luisa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0cb6c29f-b627-4b8c-8de1-7b5726dfe87e</vt:lpwstr>
  </property>
</Properties>
</file>