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Congregatio Immaculati Cordis Mariae (CICM)</w:t>
      </w:r>
    </w:p>
    <w:p w:rsidR="00000000" w:rsidDel="00000000" w:rsidP="00000000" w:rsidRDefault="00000000" w:rsidRPr="00000000" w14:paraId="00000002">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Philippines School Network</w:t>
      </w:r>
    </w:p>
    <w:p w:rsidR="00000000" w:rsidDel="00000000" w:rsidP="00000000" w:rsidRDefault="00000000" w:rsidRPr="00000000" w14:paraId="00000003">
      <w:pPr>
        <w:spacing w:after="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GUIDANCE CLUSTER</w:t>
      </w:r>
    </w:p>
    <w:p w:rsidR="00000000" w:rsidDel="00000000" w:rsidP="00000000" w:rsidRDefault="00000000" w:rsidRPr="00000000" w14:paraId="00000005">
      <w:pPr>
        <w:spacing w:after="0" w:lineRule="auto"/>
        <w:jc w:val="cente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6">
      <w:pPr>
        <w:spacing w:after="0" w:lineRule="auto"/>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MINUTES OF MEETING</w:t>
      </w:r>
    </w:p>
    <w:p w:rsidR="00000000" w:rsidDel="00000000" w:rsidP="00000000" w:rsidRDefault="00000000" w:rsidRPr="00000000" w14:paraId="00000007">
      <w:pPr>
        <w:spacing w:after="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8">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tab/>
        <w:tab/>
        <w:t xml:space="preserve">May 3,2024</w:t>
      </w:r>
    </w:p>
    <w:p w:rsidR="00000000" w:rsidDel="00000000" w:rsidP="00000000" w:rsidRDefault="00000000" w:rsidRPr="00000000" w14:paraId="00000009">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Venue:</w:t>
        <w:tab/>
        <w:t xml:space="preserve">Amphitheater, USL-BCJ Campus</w:t>
      </w:r>
    </w:p>
    <w:p w:rsidR="00000000" w:rsidDel="00000000" w:rsidP="00000000" w:rsidRDefault="00000000" w:rsidRPr="00000000" w14:paraId="0000000A">
      <w:pPr>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Present</w:t>
        <w:tab/>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Ms. Jinky C. Ramos</w:t>
      </w:r>
      <w:r w:rsidDel="00000000" w:rsidR="00000000" w:rsidRPr="00000000">
        <w:rPr>
          <w:rFonts w:ascii="Century Gothic" w:cs="Century Gothic" w:eastAsia="Century Gothic" w:hAnsi="Century Gothic"/>
          <w:rtl w:val="0"/>
        </w:rPr>
        <w:t xml:space="preserve">-Director,Guidance and Counseling Center, USL, Presider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Ms.Corazon Baterina-Kawi</w:t>
      </w:r>
      <w:r w:rsidDel="00000000" w:rsidR="00000000" w:rsidRPr="00000000">
        <w:rPr>
          <w:rFonts w:ascii="Century Gothic" w:cs="Century Gothic" w:eastAsia="Century Gothic" w:hAnsi="Century Gothic"/>
          <w:rtl w:val="0"/>
        </w:rPr>
        <w:t xml:space="preserve">-Director-Center for Counseling and Wellness, SLU,member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Ms. Marvi T. Cabaccan</w:t>
      </w:r>
      <w:r w:rsidDel="00000000" w:rsidR="00000000" w:rsidRPr="00000000">
        <w:rPr>
          <w:rFonts w:ascii="Century Gothic" w:cs="Century Gothic" w:eastAsia="Century Gothic" w:hAnsi="Century Gothic"/>
          <w:rtl w:val="0"/>
        </w:rPr>
        <w:t xml:space="preserve">-Guidance Coordinator- Guidance Center, SLC-La Union,member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Mr.Edwin Edilberto N. Mania</w:t>
      </w:r>
      <w:r w:rsidDel="00000000" w:rsidR="00000000" w:rsidRPr="00000000">
        <w:rPr>
          <w:rFonts w:ascii="Century Gothic" w:cs="Century Gothic" w:eastAsia="Century Gothic" w:hAnsi="Century Gothic"/>
          <w:rtl w:val="0"/>
        </w:rPr>
        <w:t xml:space="preserve">-Director-Guidance and counseling center,SMU,member</w:t>
      </w:r>
    </w:p>
    <w:p w:rsidR="00000000" w:rsidDel="00000000" w:rsidP="00000000" w:rsidRDefault="00000000" w:rsidRPr="00000000" w14:paraId="0000000F">
      <w:pPr>
        <w:spacing w:after="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Rule="auto"/>
        <w:ind w:left="360" w:hanging="360"/>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Opening Prayer. </w:t>
      </w:r>
      <w:r w:rsidDel="00000000" w:rsidR="00000000" w:rsidRPr="00000000">
        <w:rPr>
          <w:rFonts w:ascii="Century Gothic" w:cs="Century Gothic" w:eastAsia="Century Gothic" w:hAnsi="Century Gothic"/>
          <w:rtl w:val="0"/>
        </w:rPr>
        <w:t xml:space="preserve">The meeting started with an opening prayer led by Jinky C. Ramos</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36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Rule="auto"/>
        <w:ind w:left="36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Roll Call of Participants. </w:t>
      </w:r>
      <w:r w:rsidDel="00000000" w:rsidR="00000000" w:rsidRPr="00000000">
        <w:rPr>
          <w:rFonts w:ascii="Century Gothic" w:cs="Century Gothic" w:eastAsia="Century Gothic" w:hAnsi="Century Gothic"/>
          <w:rtl w:val="0"/>
        </w:rPr>
        <w:t xml:space="preserve">4 participants attended the meeting in person.</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Rule="auto"/>
        <w:ind w:left="36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Meeting Proper. </w:t>
      </w:r>
      <w:r w:rsidDel="00000000" w:rsidR="00000000" w:rsidRPr="00000000">
        <w:rPr>
          <w:rFonts w:ascii="Century Gothic" w:cs="Century Gothic" w:eastAsia="Century Gothic" w:hAnsi="Century Gothic"/>
          <w:rtl w:val="0"/>
        </w:rPr>
        <w:t xml:space="preserve">The following agenda was discussed during the meeting.</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3081"/>
        <w:gridCol w:w="1777"/>
        <w:gridCol w:w="2155"/>
        <w:tblGridChange w:id="0">
          <w:tblGrid>
            <w:gridCol w:w="2337"/>
            <w:gridCol w:w="3081"/>
            <w:gridCol w:w="1777"/>
            <w:gridCol w:w="2155"/>
          </w:tblGrid>
        </w:tblGridChange>
      </w:tblGrid>
      <w:tr>
        <w:trPr>
          <w:cantSplit w:val="0"/>
          <w:trHeight w:val="152" w:hRule="atLeast"/>
          <w:tblHeader w:val="0"/>
        </w:trPr>
        <w:tc>
          <w:tcPr/>
          <w:p w:rsidR="00000000" w:rsidDel="00000000" w:rsidP="00000000" w:rsidRDefault="00000000" w:rsidRPr="00000000" w14:paraId="00000015">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Agenda</w:t>
            </w:r>
          </w:p>
        </w:tc>
        <w:tc>
          <w:tcPr/>
          <w:p w:rsidR="00000000" w:rsidDel="00000000" w:rsidP="00000000" w:rsidRDefault="00000000" w:rsidRPr="00000000" w14:paraId="00000016">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Discussions</w:t>
            </w:r>
          </w:p>
        </w:tc>
        <w:tc>
          <w:tcPr/>
          <w:p w:rsidR="00000000" w:rsidDel="00000000" w:rsidP="00000000" w:rsidRDefault="00000000" w:rsidRPr="00000000" w14:paraId="00000017">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Remarks</w:t>
            </w:r>
          </w:p>
        </w:tc>
        <w:tc>
          <w:tcPr/>
          <w:p w:rsidR="00000000" w:rsidDel="00000000" w:rsidP="00000000" w:rsidRDefault="00000000" w:rsidRPr="00000000" w14:paraId="00000018">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Agenda</w:t>
            </w:r>
          </w:p>
        </w:tc>
      </w:tr>
      <w:tr>
        <w:trPr>
          <w:cantSplit w:val="0"/>
          <w:tblHeader w:val="0"/>
        </w:trPr>
        <w:tc>
          <w:tcPr/>
          <w:p w:rsidR="00000000" w:rsidDel="00000000" w:rsidP="00000000" w:rsidRDefault="00000000" w:rsidRPr="00000000" w14:paraId="00000019">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Percentage of accomplishments</w:t>
            </w:r>
          </w:p>
        </w:tc>
        <w:tc>
          <w:tcPr/>
          <w:p w:rsidR="00000000" w:rsidDel="00000000" w:rsidP="00000000" w:rsidRDefault="00000000" w:rsidRPr="00000000" w14:paraId="0000001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50% of the plans last academic year 2023-2024 was accomplished. Creation of the guidance networks paved way to better consultation and communication with members. Furthermore, a meeting on best practices of the guidance center was conducted.</w:t>
            </w:r>
          </w:p>
        </w:tc>
        <w:tc>
          <w:tcPr/>
          <w:p w:rsidR="00000000" w:rsidDel="00000000" w:rsidP="00000000" w:rsidRDefault="00000000" w:rsidRPr="00000000" w14:paraId="0000001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meeting was facilitated by SLC-guidance.</w:t>
            </w:r>
          </w:p>
          <w:p w:rsidR="00000000" w:rsidDel="00000000" w:rsidP="00000000" w:rsidRDefault="00000000" w:rsidRPr="00000000" w14:paraId="0000001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SLC-Cebu participated the sharing.</w:t>
            </w:r>
          </w:p>
        </w:tc>
        <w:tc>
          <w:tcPr/>
          <w:p w:rsidR="00000000" w:rsidDel="00000000" w:rsidP="00000000" w:rsidRDefault="00000000" w:rsidRPr="00000000" w14:paraId="0000001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Percentage of accomplishments</w:t>
            </w:r>
          </w:p>
        </w:tc>
      </w:tr>
      <w:tr>
        <w:trPr>
          <w:cantSplit w:val="0"/>
          <w:tblHeader w:val="0"/>
        </w:trPr>
        <w:tc>
          <w:tcPr/>
          <w:p w:rsidR="00000000" w:rsidDel="00000000" w:rsidP="00000000" w:rsidRDefault="00000000" w:rsidRPr="00000000" w14:paraId="0000001F">
            <w:pPr>
              <w:jc w:val="both"/>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20">
            <w:pPr>
              <w:jc w:val="both"/>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21">
            <w:pPr>
              <w:jc w:val="both"/>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22">
            <w:pPr>
              <w:jc w:val="both"/>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spacing w:after="0" w:lineRule="auto"/>
        <w:jc w:val="both"/>
        <w:rPr>
          <w:rFonts w:ascii="Century Gothic" w:cs="Century Gothic" w:eastAsia="Century Gothic" w:hAnsi="Century Gothic"/>
        </w:rPr>
      </w:pPr>
      <w:r w:rsidDel="00000000" w:rsidR="00000000" w:rsidRPr="00000000">
        <w:rPr>
          <w:rtl w:val="0"/>
        </w:rPr>
      </w:r>
    </w:p>
    <w:tbl>
      <w:tblPr>
        <w:tblStyle w:val="Table2"/>
        <w:tblW w:w="95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4050"/>
        <w:gridCol w:w="2700"/>
        <w:tblGridChange w:id="0">
          <w:tblGrid>
            <w:gridCol w:w="2785"/>
            <w:gridCol w:w="4050"/>
            <w:gridCol w:w="2700"/>
          </w:tblGrid>
        </w:tblGridChange>
      </w:tblGrid>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Action Planning</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1.Guidance Structure and   Career progression</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current structure   was discussed; SLU and SMU is under the VP for administration while SLC and USL is under the supervision of the VPMI.</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Ms. Cabaccan explained the nature of collaboration under the VPMI in the conduct of spiritual counseling. She also shared the number of counselor assigned for each unit. Similarly, the rest of the members shared the same while emphasizing the need to maintain counselor and student ratio.</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Ms. Kawi further shared about the rank and classification of counselor as academic non-teaching. Teaching loads were removed so they can have focused on the services particularly with the increased counseling output of SLU guidance office in achieving increased number of students counselled as this is a priority services of the office.</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Mr. Mania also supported this by emphasizing that even when conducting admission and other activities when there is a need to attend to counseling this should always be a priority of the office.</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Ms. Ramos also stressed out the need to create a better work plan to attend to individualized services of the offices as well as discussion of non-guidance activities such as admission concerns. </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Ms Kawi and Mr. Mania supported the need to focus on the conduct of admission test. SLU currently has a testing unit which focuses on test construction to delivery of a comprehensive testing services as part of the IGP of the office to attend to external clients.</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testing fee was mentioned which amounts to 500 for SMU and SLU which he emphasized to consider the administrative cost as well as the materials utilized which can be a source of income for the office.</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entury Gothic" w:cs="Century Gothic" w:eastAsia="Century Gothic" w:hAnsi="Century Gothic"/>
              </w:rPr>
            </w:pPr>
            <w:bookmarkStart w:colFirst="0" w:colLast="0" w:name="_heading=h.1fob9te" w:id="0"/>
            <w:bookmarkEnd w:id="0"/>
            <w:r w:rsidDel="00000000" w:rsidR="00000000" w:rsidRPr="00000000">
              <w:rPr>
                <w:rFonts w:ascii="Century Gothic" w:cs="Century Gothic" w:eastAsia="Century Gothic" w:hAnsi="Century Gothic"/>
                <w:rtl w:val="0"/>
              </w:rPr>
              <w:t xml:space="preserve">The group agreed to do benchmarking to non-CICM schools with best guidance and counseling practices as well as to look into career and placement center to boost the program. This benchmarking activity will be a joint endeavor. Mr. Mania mentioned that they have an upcoming benchmarking visit to UST, Manila. </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Another agenda was shared which was on the need to create a survey tool to identify training needs of guidance staff.</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guidance to student ratio was also discussed which majority are conscious with following the standards.</w:t>
            </w:r>
          </w:p>
        </w:tc>
        <w:tc>
          <w:tcPr/>
          <w:p w:rsidR="00000000" w:rsidDel="00000000" w:rsidP="00000000" w:rsidRDefault="00000000" w:rsidRPr="00000000" w14:paraId="0000003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Reiteration was made to make a proposal on coming up with standard of practices as well as look into improvement of facilities and career progression of counselors. </w:t>
            </w:r>
          </w:p>
        </w:tc>
      </w:tr>
      <w:tr>
        <w:trPr>
          <w:cantSplit w:val="0"/>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59" w:lineRule="auto"/>
              <w:jc w:val="both"/>
              <w:rPr>
                <w:rFonts w:ascii="Century Gothic" w:cs="Century Gothic" w:eastAsia="Century Gothic" w:hAnsi="Century Gothic"/>
              </w:rPr>
            </w:pPr>
            <w:bookmarkStart w:colFirst="0" w:colLast="0" w:name="_heading=h.gjdgxs" w:id="1"/>
            <w:bookmarkEnd w:id="1"/>
            <w:r w:rsidDel="00000000" w:rsidR="00000000" w:rsidRPr="00000000">
              <w:rPr>
                <w:rFonts w:ascii="Century Gothic" w:cs="Century Gothic" w:eastAsia="Century Gothic" w:hAnsi="Century Gothic"/>
                <w:rtl w:val="0"/>
              </w:rPr>
              <w:t xml:space="preserve">On creation of unified activities for students</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Discussion on the involvement of the group in the convergence was also discussed.</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members agreed to design a peer facilitators assembly. </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tl w:val="0"/>
              </w:rPr>
            </w:r>
          </w:p>
        </w:tc>
        <w:tc>
          <w:tcPr/>
          <w:p w:rsidR="00000000" w:rsidDel="00000000" w:rsidP="00000000" w:rsidRDefault="00000000" w:rsidRPr="00000000" w14:paraId="00000041">
            <w:pPr>
              <w:jc w:val="both"/>
              <w:rPr>
                <w:rFonts w:ascii="Century Gothic" w:cs="Century Gothic" w:eastAsia="Century Gothic" w:hAnsi="Century Gothic"/>
              </w:rPr>
            </w:pPr>
            <w:r w:rsidDel="00000000" w:rsidR="00000000" w:rsidRPr="00000000">
              <w:rPr>
                <w:rtl w:val="0"/>
              </w:rPr>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 year counselor network development plan</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group was able to finalize the 5-year plan which included the conduct of trainings and peer assembly as well as opportunity sessions for knowledge sharing. </w:t>
            </w:r>
          </w:p>
        </w:tc>
        <w:tc>
          <w:tcPr/>
          <w:p w:rsidR="00000000" w:rsidDel="00000000" w:rsidP="00000000" w:rsidRDefault="00000000" w:rsidRPr="00000000" w14:paraId="00000044">
            <w:pPr>
              <w:jc w:val="both"/>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45">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6">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7">
      <w:pPr>
        <w:spacing w:after="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IV. Adjournment. </w:t>
      </w:r>
      <w:r w:rsidDel="00000000" w:rsidR="00000000" w:rsidRPr="00000000">
        <w:rPr>
          <w:rFonts w:ascii="Century Gothic" w:cs="Century Gothic" w:eastAsia="Century Gothic" w:hAnsi="Century Gothic"/>
          <w:rtl w:val="0"/>
        </w:rPr>
        <w:t xml:space="preserve">The meeting adjourned at 2:35 p.m.</w:t>
      </w:r>
      <w:r w:rsidDel="00000000" w:rsidR="00000000" w:rsidRPr="00000000">
        <w:rPr>
          <w:rFonts w:ascii="Century Gothic" w:cs="Century Gothic" w:eastAsia="Century Gothic" w:hAnsi="Century Gothic"/>
          <w:b w:val="1"/>
          <w:rtl w:val="0"/>
        </w:rPr>
        <w:t xml:space="preserve"> </w:t>
      </w:r>
    </w:p>
    <w:p w:rsidR="00000000" w:rsidDel="00000000" w:rsidP="00000000" w:rsidRDefault="00000000" w:rsidRPr="00000000" w14:paraId="00000048">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 Closing Prayer. </w:t>
      </w:r>
      <w:r w:rsidDel="00000000" w:rsidR="00000000" w:rsidRPr="00000000">
        <w:rPr>
          <w:rFonts w:ascii="Century Gothic" w:cs="Century Gothic" w:eastAsia="Century Gothic" w:hAnsi="Century Gothic"/>
          <w:rtl w:val="0"/>
        </w:rPr>
        <w:t xml:space="preserve">The closing prayer was led by Corazon Kawi.</w:t>
      </w:r>
    </w:p>
    <w:p w:rsidR="00000000" w:rsidDel="00000000" w:rsidP="00000000" w:rsidRDefault="00000000" w:rsidRPr="00000000" w14:paraId="0000004A">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B">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Prepared by:</w:t>
      </w:r>
    </w:p>
    <w:p w:rsidR="00000000" w:rsidDel="00000000" w:rsidP="00000000" w:rsidRDefault="00000000" w:rsidRPr="00000000" w14:paraId="0000004D">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E">
      <w:pPr>
        <w:spacing w:after="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JINKY C. RAMOS</w:t>
      </w:r>
    </w:p>
    <w:p w:rsidR="00000000" w:rsidDel="00000000" w:rsidP="00000000" w:rsidRDefault="00000000" w:rsidRPr="00000000" w14:paraId="0000004F">
      <w:pPr>
        <w:spacing w:after="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Name of Assigned Recorder/Minute Taker</w:t>
      </w:r>
    </w:p>
    <w:p w:rsidR="00000000" w:rsidDel="00000000" w:rsidP="00000000" w:rsidRDefault="00000000" w:rsidRPr="00000000" w14:paraId="00000050">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Designation, School</w:t>
      </w:r>
    </w:p>
    <w:p w:rsidR="00000000" w:rsidDel="00000000" w:rsidP="00000000" w:rsidRDefault="00000000" w:rsidRPr="00000000" w14:paraId="00000051">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3">
      <w:pPr>
        <w:spacing w:after="0" w:lineRule="auto"/>
        <w:jc w:val="both"/>
        <w:rPr>
          <w:rFonts w:ascii="Century Gothic" w:cs="Century Gothic" w:eastAsia="Century Gothic" w:hAnsi="Century Gothic"/>
        </w:rPr>
      </w:pPr>
      <w:bookmarkStart w:colFirst="0" w:colLast="0" w:name="_heading=h.30j0zll" w:id="2"/>
      <w:bookmarkEnd w:id="2"/>
      <w:r w:rsidDel="00000000" w:rsidR="00000000" w:rsidRPr="00000000">
        <w:rPr>
          <w:rFonts w:ascii="Century Gothic" w:cs="Century Gothic" w:eastAsia="Century Gothic" w:hAnsi="Century Gothic"/>
          <w:rtl w:val="0"/>
        </w:rPr>
        <w:t xml:space="preserve">Attested by:</w:t>
      </w:r>
    </w:p>
    <w:p w:rsidR="00000000" w:rsidDel="00000000" w:rsidP="00000000" w:rsidRDefault="00000000" w:rsidRPr="00000000" w14:paraId="00000054">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5">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6">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Jinky C. Ramos</w:t>
      </w:r>
    </w:p>
    <w:p w:rsidR="00000000" w:rsidDel="00000000" w:rsidP="00000000" w:rsidRDefault="00000000" w:rsidRPr="00000000" w14:paraId="00000057">
      <w:pPr>
        <w:spacing w:after="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Name of Host Institution’s Representative to the Cluster  </w:t>
      </w:r>
    </w:p>
    <w:p w:rsidR="00000000" w:rsidDel="00000000" w:rsidP="00000000" w:rsidRDefault="00000000" w:rsidRPr="00000000" w14:paraId="00000058">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Designation, School</w:t>
      </w:r>
    </w:p>
    <w:p w:rsidR="00000000" w:rsidDel="00000000" w:rsidP="00000000" w:rsidRDefault="00000000" w:rsidRPr="00000000" w14:paraId="00000059">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A">
      <w:pPr>
        <w:spacing w:after="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B">
      <w:pPr>
        <w:spacing w:after="0" w:lineRule="auto"/>
        <w:jc w:val="both"/>
        <w:rPr>
          <w:rFonts w:ascii="Century Gothic" w:cs="Century Gothic" w:eastAsia="Century Gothic" w:hAnsi="Century Gothic"/>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-266699</wp:posOffset>
              </wp:positionV>
              <wp:extent cx="2878455" cy="755650"/>
              <wp:effectExtent b="0" l="0" r="0" t="0"/>
              <wp:wrapNone/>
              <wp:docPr id="46" name=""/>
              <a:graphic>
                <a:graphicData uri="http://schemas.microsoft.com/office/word/2010/wordprocessingShape">
                  <wps:wsp>
                    <wps:cNvSpPr/>
                    <wps:cNvPr id="14" name="Shape 14"/>
                    <wps:spPr>
                      <a:xfrm>
                        <a:off x="3921060" y="3416463"/>
                        <a:ext cx="2849880" cy="727075"/>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Bahnschrift Light" w:cs="Bahnschrift Light" w:eastAsia="Bahnschrift Light" w:hAnsi="Bahnschrift Light"/>
                              <w:b w:val="1"/>
                              <w:i w:val="0"/>
                              <w:smallCaps w:val="0"/>
                              <w:strike w:val="0"/>
                              <w:color w:val="1f4e79"/>
                              <w:sz w:val="22"/>
                              <w:vertAlign w:val="baseline"/>
                            </w:rPr>
                            <w:t xml:space="preserve">CONGREGATIO IMMACULATI CORDIS MARIAE (CICM) PHILIPPINES SCHOOL NETWORK</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Bahnschrift Light" w:cs="Bahnschrift Light" w:eastAsia="Bahnschrift Light" w:hAnsi="Bahnschrift Light"/>
                              <w:b w:val="1"/>
                              <w:i w:val="0"/>
                              <w:smallCaps w:val="0"/>
                              <w:strike w:val="0"/>
                              <w:color w:val="1f4e79"/>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-266699</wp:posOffset>
              </wp:positionV>
              <wp:extent cx="2878455" cy="755650"/>
              <wp:effectExtent b="0" l="0" r="0" t="0"/>
              <wp:wrapNone/>
              <wp:docPr id="4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878455" cy="755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3721100</wp:posOffset>
              </wp:positionH>
              <wp:positionV relativeFrom="paragraph">
                <wp:posOffset>-215899</wp:posOffset>
              </wp:positionV>
              <wp:extent cx="2729230" cy="643890"/>
              <wp:effectExtent b="0" l="0" r="0" t="0"/>
              <wp:wrapNone/>
              <wp:docPr id="45" name=""/>
              <a:graphic>
                <a:graphicData uri="http://schemas.microsoft.com/office/word/2010/wordprocessingGroup">
                  <wpg:wgp>
                    <wpg:cNvGrpSpPr/>
                    <wpg:grpSpPr>
                      <a:xfrm>
                        <a:off x="3981375" y="3458050"/>
                        <a:ext cx="2729230" cy="643890"/>
                        <a:chOff x="3981375" y="3458050"/>
                        <a:chExt cx="2729250" cy="643900"/>
                      </a:xfrm>
                    </wpg:grpSpPr>
                    <wpg:grpSp>
                      <wpg:cNvGrpSpPr/>
                      <wpg:grpSpPr>
                        <a:xfrm>
                          <a:off x="3981385" y="3458055"/>
                          <a:ext cx="2729230" cy="643890"/>
                          <a:chOff x="3981375" y="3458050"/>
                          <a:chExt cx="2729250" cy="643900"/>
                        </a:xfrm>
                      </wpg:grpSpPr>
                      <wps:wsp>
                        <wps:cNvSpPr/>
                        <wps:cNvPr id="3" name="Shape 3"/>
                        <wps:spPr>
                          <a:xfrm>
                            <a:off x="3981375" y="3458050"/>
                            <a:ext cx="2729250" cy="6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81385" y="3458055"/>
                            <a:ext cx="2729230" cy="643890"/>
                            <a:chOff x="3981375" y="3458050"/>
                            <a:chExt cx="2729250" cy="643900"/>
                          </a:xfrm>
                        </wpg:grpSpPr>
                        <wps:wsp>
                          <wps:cNvSpPr/>
                          <wps:cNvPr id="5" name="Shape 5"/>
                          <wps:spPr>
                            <a:xfrm>
                              <a:off x="3981375" y="3458050"/>
                              <a:ext cx="2729250" cy="6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81385" y="3458055"/>
                              <a:ext cx="2729230" cy="643890"/>
                              <a:chOff x="0" y="0"/>
                              <a:chExt cx="3062269" cy="689826"/>
                            </a:xfrm>
                          </wpg:grpSpPr>
                          <wps:wsp>
                            <wps:cNvSpPr/>
                            <wps:cNvPr id="7" name="Shape 7"/>
                            <wps:spPr>
                              <a:xfrm>
                                <a:off x="0" y="0"/>
                                <a:ext cx="3062250" cy="689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2">
                                <a:alphaModFix/>
                              </a:blip>
                              <a:srcRect b="0" l="0" r="0" t="0"/>
                              <a:stretch/>
                            </pic:blipFill>
                            <pic:spPr>
                              <a:xfrm>
                                <a:off x="0" y="0"/>
                                <a:ext cx="603250" cy="680085"/>
                              </a:xfrm>
                              <a:prstGeom prst="rect">
                                <a:avLst/>
                              </a:prstGeom>
                              <a:noFill/>
                              <a:ln>
                                <a:noFill/>
                              </a:ln>
                            </pic:spPr>
                          </pic:pic>
                          <pic:pic>
                            <pic:nvPicPr>
                              <pic:cNvPr id="9" name="Shape 9"/>
                              <pic:cNvPicPr preferRelativeResize="0"/>
                            </pic:nvPicPr>
                            <pic:blipFill rotWithShape="1">
                              <a:blip r:embed="rId3">
                                <a:alphaModFix/>
                              </a:blip>
                              <a:srcRect b="0" l="0" r="0" t="0"/>
                              <a:stretch/>
                            </pic:blipFill>
                            <pic:spPr>
                              <a:xfrm>
                                <a:off x="1190445" y="34506"/>
                                <a:ext cx="405130" cy="522605"/>
                              </a:xfrm>
                              <a:prstGeom prst="rect">
                                <a:avLst/>
                              </a:prstGeom>
                              <a:noFill/>
                              <a:ln>
                                <a:noFill/>
                              </a:ln>
                            </pic:spPr>
                          </pic:pic>
                          <pic:pic>
                            <pic:nvPicPr>
                              <pic:cNvPr id="10" name="Shape 10"/>
                              <pic:cNvPicPr preferRelativeResize="0"/>
                            </pic:nvPicPr>
                            <pic:blipFill rotWithShape="1">
                              <a:blip r:embed="rId4">
                                <a:alphaModFix/>
                              </a:blip>
                              <a:srcRect b="0" l="0" r="0" t="0"/>
                              <a:stretch/>
                            </pic:blipFill>
                            <pic:spPr>
                              <a:xfrm>
                                <a:off x="1639019" y="34506"/>
                                <a:ext cx="461010" cy="448310"/>
                              </a:xfrm>
                              <a:prstGeom prst="rect">
                                <a:avLst/>
                              </a:prstGeom>
                              <a:noFill/>
                              <a:ln>
                                <a:noFill/>
                              </a:ln>
                            </pic:spPr>
                          </pic:pic>
                          <pic:pic>
                            <pic:nvPicPr>
                              <pic:cNvPr id="11" name="Shape 11"/>
                              <pic:cNvPicPr preferRelativeResize="0"/>
                            </pic:nvPicPr>
                            <pic:blipFill rotWithShape="1">
                              <a:blip r:embed="rId5">
                                <a:alphaModFix/>
                              </a:blip>
                              <a:srcRect b="0" l="0" r="0" t="0"/>
                              <a:stretch/>
                            </pic:blipFill>
                            <pic:spPr>
                              <a:xfrm>
                                <a:off x="655607" y="34506"/>
                                <a:ext cx="453390" cy="655320"/>
                              </a:xfrm>
                              <a:prstGeom prst="rect">
                                <a:avLst/>
                              </a:prstGeom>
                              <a:noFill/>
                              <a:ln>
                                <a:noFill/>
                              </a:ln>
                            </pic:spPr>
                          </pic:pic>
                          <pic:pic>
                            <pic:nvPicPr>
                              <pic:cNvPr id="12" name="Shape 12"/>
                              <pic:cNvPicPr preferRelativeResize="0"/>
                            </pic:nvPicPr>
                            <pic:blipFill rotWithShape="1">
                              <a:blip r:embed="rId6">
                                <a:alphaModFix/>
                              </a:blip>
                              <a:srcRect b="0" l="0" r="0" t="0"/>
                              <a:stretch/>
                            </pic:blipFill>
                            <pic:spPr>
                              <a:xfrm>
                                <a:off x="2587924" y="0"/>
                                <a:ext cx="474345" cy="625475"/>
                              </a:xfrm>
                              <a:prstGeom prst="rect">
                                <a:avLst/>
                              </a:prstGeom>
                              <a:noFill/>
                              <a:ln>
                                <a:noFill/>
                              </a:ln>
                            </pic:spPr>
                          </pic:pic>
                          <pic:pic>
                            <pic:nvPicPr>
                              <pic:cNvPr id="13" name="Shape 13"/>
                              <pic:cNvPicPr preferRelativeResize="0"/>
                            </pic:nvPicPr>
                            <pic:blipFill rotWithShape="1">
                              <a:blip r:embed="rId7">
                                <a:alphaModFix/>
                              </a:blip>
                              <a:srcRect b="0" l="0" r="0" t="0"/>
                              <a:stretch/>
                            </pic:blipFill>
                            <pic:spPr>
                              <a:xfrm>
                                <a:off x="2104845" y="0"/>
                                <a:ext cx="496570" cy="502920"/>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3721100</wp:posOffset>
              </wp:positionH>
              <wp:positionV relativeFrom="paragraph">
                <wp:posOffset>-215899</wp:posOffset>
              </wp:positionV>
              <wp:extent cx="2729230" cy="643890"/>
              <wp:effectExtent b="0" l="0" r="0" t="0"/>
              <wp:wrapNone/>
              <wp:docPr id="4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729230" cy="64389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-179067</wp:posOffset>
          </wp:positionH>
          <wp:positionV relativeFrom="paragraph">
            <wp:posOffset>-349882</wp:posOffset>
          </wp:positionV>
          <wp:extent cx="1133475" cy="800735"/>
          <wp:effectExtent b="0" l="0" r="0" t="0"/>
          <wp:wrapSquare wrapText="bothSides" distB="0" distT="0" distL="114300" distR="114300"/>
          <wp:docPr id="4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133475" cy="800735"/>
                  </a:xfrm>
                  <a:prstGeom prst="rect"/>
                  <a:ln/>
                </pic:spPr>
              </pic:pic>
            </a:graphicData>
          </a:graphic>
        </wp:anchor>
      </w:drawing>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9525" cy="12700"/>
              <wp:effectExtent b="0" l="0" r="0" t="0"/>
              <wp:wrapNone/>
              <wp:docPr id="47" name=""/>
              <a:graphic>
                <a:graphicData uri="http://schemas.microsoft.com/office/word/2010/wordprocessingShape">
                  <wps:wsp>
                    <wps:cNvCnPr/>
                    <wps:spPr>
                      <a:xfrm flipH="1" rot="10800000">
                        <a:off x="2069400" y="3775238"/>
                        <a:ext cx="6553200" cy="952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9525" cy="12700"/>
              <wp:effectExtent b="0" l="0" r="0" t="0"/>
              <wp:wrapNone/>
              <wp:docPr id="4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532BB6"/>
    <w:pPr>
      <w:ind w:left="720"/>
      <w:contextualSpacing w:val="1"/>
    </w:pPr>
  </w:style>
  <w:style w:type="table" w:styleId="TableGrid">
    <w:name w:val="Table Grid"/>
    <w:basedOn w:val="TableNormal"/>
    <w:uiPriority w:val="39"/>
    <w:rsid w:val="00532B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76584C"/>
    <w:pPr>
      <w:autoSpaceDE w:val="0"/>
      <w:autoSpaceDN w:val="0"/>
      <w:adjustRightInd w:val="0"/>
      <w:spacing w:after="0" w:line="240" w:lineRule="auto"/>
    </w:pPr>
    <w:rPr>
      <w:rFonts w:ascii="Bookman Old Style" w:cs="Bookman Old Style" w:hAnsi="Bookman Old Style"/>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6E7AF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7AF3"/>
  </w:style>
  <w:style w:type="paragraph" w:styleId="Footer">
    <w:name w:val="footer"/>
    <w:basedOn w:val="Normal"/>
    <w:link w:val="FooterChar"/>
    <w:uiPriority w:val="99"/>
    <w:unhideWhenUsed w:val="1"/>
    <w:rsid w:val="006E7A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7AF3"/>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9.png"/><Relationship Id="rId3" Type="http://schemas.openxmlformats.org/officeDocument/2006/relationships/image" Target="media/image5.png"/><Relationship Id="rId4" Type="http://schemas.openxmlformats.org/officeDocument/2006/relationships/image" Target="media/image10.png"/><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image" Target="media/image8.png"/><Relationship Id="rId6" Type="http://schemas.openxmlformats.org/officeDocument/2006/relationships/image" Target="media/image7.png"/><Relationship Id="rId7"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Nl85wx0kUCPWFrJK9o7wFs6A==">CgMxLjAyCWguMWZvYjl0ZTIIaC5namRneHMyCWguMzBqMHpsbDgAciExNTFySXNGREVNcjdoWTdGX0tiaFpkUDh1cnYySnJkaUM=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2024-05-07T06:16:00Z</dcterms:created>
  <dc:creator>Luisa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0cb6c29f-b627-4b8c-8de1-7b5726dfe87e</vt:lpwstr>
  </property>
</Properties>
</file>